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val="false"/>
          <w:b w:val="false"/>
          <w:bCs w:val="false"/>
          <w:sz w:val="32"/>
          <w:szCs w:val="32"/>
        </w:rPr>
      </w:pPr>
      <w:r>
        <w:rPr>
          <w:b w:val="false"/>
          <w:bCs w:val="false"/>
          <w:sz w:val="32"/>
          <w:szCs w:val="32"/>
        </w:rPr>
        <w:t>AVP/North Bay Council</w:t>
      </w:r>
    </w:p>
    <w:p>
      <w:pPr>
        <w:pStyle w:val="Normal"/>
        <w:jc w:val="center"/>
        <w:rPr>
          <w:b/>
          <w:b/>
          <w:bCs/>
          <w:sz w:val="32"/>
          <w:szCs w:val="32"/>
        </w:rPr>
      </w:pPr>
      <w:r>
        <w:rPr>
          <w:b/>
          <w:bCs/>
          <w:sz w:val="32"/>
          <w:szCs w:val="32"/>
        </w:rPr>
        <w:t>Digest of Important Minutes</w:t>
      </w:r>
    </w:p>
    <w:p>
      <w:pPr>
        <w:pStyle w:val="Normal"/>
        <w:jc w:val="center"/>
        <w:rPr>
          <w:b/>
          <w:b/>
          <w:bCs/>
          <w:sz w:val="32"/>
          <w:szCs w:val="32"/>
        </w:rPr>
      </w:pPr>
      <w:r>
        <w:rPr>
          <w:b/>
          <w:bCs/>
          <w:sz w:val="32"/>
          <w:szCs w:val="32"/>
        </w:rPr>
      </w:r>
    </w:p>
    <w:p>
      <w:pPr>
        <w:pStyle w:val="TextBody"/>
        <w:rPr/>
      </w:pPr>
      <w:r>
        <w:rPr/>
        <w:t>This is a list of “significant” announcements and council decisions, extracted from the full Minutes files (which for privacy reasons are not available online).  This file, which is published on the website, is intended to contain most items which may need to be formally referenced.</w:t>
      </w:r>
    </w:p>
    <w:p>
      <w:pPr>
        <w:pStyle w:val="TextBody"/>
        <w:rPr/>
      </w:pPr>
      <w:r>
        <w:rPr/>
        <w:t>Note to editor: Please include the meeting date and original Recording Secretary in each entry.</w:t>
      </w:r>
    </w:p>
    <w:p>
      <w:pPr>
        <w:pStyle w:val="TextBody"/>
        <w:rPr/>
      </w:pPr>
      <w:r>
        <w:rPr/>
        <w:t>(MOST RECENT FIRST)</w:t>
      </w:r>
    </w:p>
    <w:tbl>
      <w:tblPr>
        <w:tblW w:w="9972" w:type="dxa"/>
        <w:jc w:val="left"/>
        <w:tblInd w:w="0" w:type="dxa"/>
        <w:tblCellMar>
          <w:top w:w="55" w:type="dxa"/>
          <w:left w:w="52" w:type="dxa"/>
          <w:bottom w:w="55" w:type="dxa"/>
          <w:right w:w="55" w:type="dxa"/>
        </w:tblCellMar>
      </w:tblPr>
      <w:tblGrid>
        <w:gridCol w:w="2492"/>
        <w:gridCol w:w="7480"/>
      </w:tblGrid>
      <w:tr>
        <w:trPr/>
        <w:tc>
          <w:tcPr>
            <w:tcW w:w="2492" w:type="dxa"/>
            <w:tcBorders>
              <w:top w:val="single" w:sz="2" w:space="0" w:color="000000"/>
              <w:left w:val="single" w:sz="2" w:space="0" w:color="000000"/>
              <w:bottom w:val="single" w:sz="2" w:space="0" w:color="000000"/>
            </w:tcBorders>
            <w:shd w:fill="auto" w:val="clear"/>
          </w:tcPr>
          <w:p>
            <w:pPr>
              <w:pStyle w:val="TableContents"/>
              <w:rPr>
                <w:b/>
                <w:b/>
                <w:bCs/>
              </w:rPr>
            </w:pPr>
            <w:r>
              <w:rPr/>
            </w:r>
          </w:p>
        </w:tc>
        <w:tc>
          <w:tcPr>
            <w:tcW w:w="7480"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r>
          </w:p>
        </w:tc>
      </w:tr>
      <w:tr>
        <w:trPr>
          <w:trHeight w:val="1046" w:hRule="atLeast"/>
          <w:cantSplit w:val="true"/>
        </w:trPr>
        <w:tc>
          <w:tcPr>
            <w:tcW w:w="9972"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rPr>
                <w:u w:val="none"/>
              </w:rPr>
            </w:pPr>
            <w:r>
              <w:rPr/>
            </w:r>
          </w:p>
        </w:tc>
      </w:tr>
    </w:tbl>
    <w:p>
      <w:pPr>
        <w:pStyle w:val="Normal"/>
        <w:rPr/>
      </w:pPr>
      <w:r>
        <w:rPr/>
      </w:r>
    </w:p>
    <w:tbl>
      <w:tblPr>
        <w:tblW w:w="9972" w:type="dxa"/>
        <w:jc w:val="left"/>
        <w:tblInd w:w="0" w:type="dxa"/>
        <w:tblCellMar>
          <w:top w:w="55" w:type="dxa"/>
          <w:left w:w="52" w:type="dxa"/>
          <w:bottom w:w="55" w:type="dxa"/>
          <w:right w:w="55" w:type="dxa"/>
        </w:tblCellMar>
      </w:tblPr>
      <w:tblGrid>
        <w:gridCol w:w="2492"/>
        <w:gridCol w:w="7480"/>
      </w:tblGrid>
      <w:tr>
        <w:trPr/>
        <w:tc>
          <w:tcPr>
            <w:tcW w:w="2492" w:type="dxa"/>
            <w:tcBorders>
              <w:top w:val="single" w:sz="2" w:space="0" w:color="000000"/>
              <w:left w:val="single" w:sz="2" w:space="0" w:color="000000"/>
              <w:bottom w:val="single" w:sz="2" w:space="0" w:color="000000"/>
            </w:tcBorders>
            <w:shd w:fill="auto" w:val="clear"/>
          </w:tcPr>
          <w:p>
            <w:pPr>
              <w:pStyle w:val="TableContents"/>
              <w:keepNext w:val="true"/>
              <w:suppressLineNumbers/>
              <w:rPr>
                <w:b/>
                <w:b/>
                <w:bCs/>
              </w:rPr>
            </w:pPr>
            <w:r>
              <w:rPr>
                <w:b/>
                <w:bCs/>
              </w:rPr>
              <w:t>February 2, 2020</w:t>
            </w:r>
          </w:p>
        </w:tc>
        <w:tc>
          <w:tcPr>
            <w:tcW w:w="7480"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Council Meeting times &amp; meeting host responsibilities</w:t>
            </w:r>
          </w:p>
        </w:tc>
      </w:tr>
      <w:tr>
        <w:trPr>
          <w:trHeight w:val="1046" w:hRule="atLeast"/>
          <w:cantSplit w:val="true"/>
        </w:trPr>
        <w:tc>
          <w:tcPr>
            <w:tcW w:w="9972"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u w:val="single"/>
              </w:rPr>
              <w:t>Decision</w:t>
            </w:r>
            <w:r>
              <w:rPr/>
              <w:t>: The meeting host decides the venue (their home or RFFM), whether it is a potluck, bring own-meal or no-food meeting, emails a reminder to the group, and makes an Agenda (in advance or at the start of the meeting).</w:t>
            </w:r>
          </w:p>
          <w:p>
            <w:pPr>
              <w:pStyle w:val="TableContents"/>
              <w:rPr/>
            </w:pPr>
            <w:r>
              <w:rPr/>
            </w:r>
          </w:p>
          <w:p>
            <w:pPr>
              <w:pStyle w:val="TableContents"/>
              <w:rPr/>
            </w:pPr>
            <w:r>
              <w:rPr/>
              <w:t>Pot-luck/bring-own-meal meetings convene at 5:15 pm, start eating 5:30 sharp, adjourn by 8:00 pm.</w:t>
            </w:r>
          </w:p>
          <w:p>
            <w:pPr>
              <w:pStyle w:val="TableContents"/>
              <w:rPr/>
            </w:pPr>
            <w:r>
              <w:rPr/>
              <w:t>NON-food meetings start at 6:30 pm to give people time to eat at home, and still aim to end by 8pm.</w:t>
            </w:r>
          </w:p>
          <w:p>
            <w:pPr>
              <w:pStyle w:val="TableContents"/>
              <w:rPr/>
            </w:pPr>
            <w:r>
              <w:rPr/>
              <w:t xml:space="preserve">Meetings are now held monthly on the </w:t>
            </w:r>
            <w:r>
              <w:rPr>
                <w:b/>
                <w:bCs/>
                <w:i/>
                <w:iCs/>
              </w:rPr>
              <w:t>third Wednesday.</w:t>
            </w:r>
          </w:p>
          <w:p>
            <w:pPr>
              <w:pStyle w:val="TableContents"/>
              <w:rPr>
                <w:b/>
                <w:b/>
                <w:bCs/>
                <w:i/>
                <w:i/>
                <w:iCs/>
              </w:rPr>
            </w:pPr>
            <w:r>
              <w:rPr/>
            </w:r>
          </w:p>
          <w:p>
            <w:pPr>
              <w:pStyle w:val="TableContents"/>
              <w:rPr>
                <w:b w:val="false"/>
                <w:b w:val="false"/>
                <w:bCs w:val="false"/>
                <w:i w:val="false"/>
                <w:i w:val="false"/>
                <w:iCs w:val="false"/>
              </w:rPr>
            </w:pPr>
            <w:r>
              <w:rPr>
                <w:b w:val="false"/>
                <w:bCs w:val="false"/>
                <w:i w:val="false"/>
                <w:iCs w:val="false"/>
              </w:rPr>
              <w:t>Recording Secretary: Jim Avera</w:t>
            </w:r>
          </w:p>
        </w:tc>
      </w:tr>
    </w:tbl>
    <w:p>
      <w:pPr>
        <w:pStyle w:val="Normal"/>
        <w:rPr/>
      </w:pPr>
      <w:r>
        <w:rPr/>
      </w:r>
    </w:p>
    <w:tbl>
      <w:tblPr>
        <w:tblW w:w="9972" w:type="dxa"/>
        <w:jc w:val="left"/>
        <w:tblInd w:w="0" w:type="dxa"/>
        <w:tblCellMar>
          <w:top w:w="55" w:type="dxa"/>
          <w:left w:w="52" w:type="dxa"/>
          <w:bottom w:w="55" w:type="dxa"/>
          <w:right w:w="55" w:type="dxa"/>
        </w:tblCellMar>
      </w:tblPr>
      <w:tblGrid>
        <w:gridCol w:w="2492"/>
        <w:gridCol w:w="7480"/>
      </w:tblGrid>
      <w:tr>
        <w:trPr/>
        <w:tc>
          <w:tcPr>
            <w:tcW w:w="2492" w:type="dxa"/>
            <w:tcBorders>
              <w:top w:val="single" w:sz="2" w:space="0" w:color="000000"/>
              <w:left w:val="single" w:sz="2" w:space="0" w:color="000000"/>
              <w:bottom w:val="single" w:sz="2" w:space="0" w:color="000000"/>
            </w:tcBorders>
            <w:shd w:fill="auto" w:val="clear"/>
          </w:tcPr>
          <w:p>
            <w:pPr>
              <w:pStyle w:val="TableContents"/>
              <w:keepNext w:val="true"/>
              <w:rPr/>
            </w:pPr>
            <w:r>
              <w:rPr>
                <w:b/>
                <w:bCs/>
              </w:rPr>
              <w:t>February 7, 2019</w:t>
            </w:r>
          </w:p>
        </w:tc>
        <w:tc>
          <w:tcPr>
            <w:tcW w:w="7480"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b/>
                <w:bCs/>
              </w:rPr>
              <w:t>Ba</w:t>
            </w:r>
            <w:r>
              <w:rPr>
                <w:b/>
                <w:bCs/>
              </w:rPr>
              <w:t>n</w:t>
            </w:r>
            <w:r>
              <w:rPr>
                <w:b/>
                <w:bCs/>
              </w:rPr>
              <w:t>k Account Signatories</w:t>
            </w:r>
          </w:p>
        </w:tc>
      </w:tr>
      <w:tr>
        <w:trPr>
          <w:trHeight w:val="1046" w:hRule="atLeast"/>
          <w:cantSplit w:val="true"/>
        </w:trPr>
        <w:tc>
          <w:tcPr>
            <w:tcW w:w="9972"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keepNext w:val="true"/>
              <w:rPr/>
            </w:pPr>
            <w:r>
              <w:rPr>
                <w:u w:val="single"/>
              </w:rPr>
              <w:t>Decision</w:t>
            </w:r>
            <w:r>
              <w:rPr/>
              <w:t>: The following individuals were duly authorized as fiduciaries for AVP-North Bay Council to open, take control of, and/or operate bank accounts owned by AVP-North Bay Council,</w:t>
            </w:r>
          </w:p>
          <w:p>
            <w:pPr>
              <w:pStyle w:val="TableContents"/>
              <w:rPr/>
            </w:pPr>
            <w:r>
              <w:rPr/>
              <w:t>including writing checks and otherwise making withdrawals with a single signature:</w:t>
            </w:r>
          </w:p>
          <w:p>
            <w:pPr>
              <w:pStyle w:val="TableContents"/>
              <w:numPr>
                <w:ilvl w:val="0"/>
                <w:numId w:val="1"/>
              </w:numPr>
              <w:rPr/>
            </w:pPr>
            <w:r>
              <w:rPr/>
              <w:t>Sharon Beckman, residing at [redacted]</w:t>
            </w:r>
          </w:p>
          <w:p>
            <w:pPr>
              <w:pStyle w:val="TableContents"/>
              <w:numPr>
                <w:ilvl w:val="0"/>
                <w:numId w:val="1"/>
              </w:numPr>
              <w:rPr/>
            </w:pPr>
            <w:r>
              <w:rPr/>
              <w:t>Alice M. Waco, residing at [redacted]</w:t>
            </w:r>
          </w:p>
          <w:p>
            <w:pPr>
              <w:pStyle w:val="TableContents"/>
              <w:numPr>
                <w:ilvl w:val="0"/>
                <w:numId w:val="1"/>
              </w:numPr>
              <w:rPr/>
            </w:pPr>
            <w:r>
              <w:rPr/>
              <w:t>James L. Avera, residing at [redacted]</w:t>
            </w:r>
          </w:p>
          <w:p>
            <w:pPr>
              <w:pStyle w:val="TableContents"/>
              <w:rPr/>
            </w:pPr>
            <w:r>
              <w:rPr/>
            </w:r>
          </w:p>
          <w:p>
            <w:pPr>
              <w:pStyle w:val="TableContents"/>
              <w:rPr/>
            </w:pPr>
            <w:r>
              <w:rPr/>
              <w:t>The Recording Secretary was John Creager.</w:t>
            </w:r>
          </w:p>
          <w:p>
            <w:pPr>
              <w:pStyle w:val="TableContents"/>
              <w:rPr/>
            </w:pPr>
            <w:r>
              <w:rPr/>
            </w:r>
          </w:p>
          <w:p>
            <w:pPr>
              <w:pStyle w:val="TableContents"/>
              <w:rPr/>
            </w:pPr>
            <w:r>
              <w:rPr/>
              <w:t>Note:  Exchange Bank required that a new account be opened in order to switch to using our own Tax ID number (the old account was opened using the SSN of a former treasurer).   So a new account was opened.  However as of March 2019 the old account remained open also to allow outstanding checks to clear.   Eventually the old account should be closed. -Jim Avera 5/6/2019</w:t>
            </w:r>
          </w:p>
        </w:tc>
      </w:tr>
    </w:tbl>
    <w:p>
      <w:pPr>
        <w:pStyle w:val="Normal"/>
        <w:rPr/>
      </w:pPr>
      <w:r>
        <w:rPr/>
      </w:r>
    </w:p>
    <w:p>
      <w:pPr>
        <w:pStyle w:val="Normal"/>
        <w:rPr/>
      </w:pPr>
      <w:r>
        <w:rPr/>
      </w:r>
    </w:p>
    <w:tbl>
      <w:tblPr>
        <w:tblW w:w="9972" w:type="dxa"/>
        <w:jc w:val="left"/>
        <w:tblInd w:w="0" w:type="dxa"/>
        <w:tblCellMar>
          <w:top w:w="55" w:type="dxa"/>
          <w:left w:w="52" w:type="dxa"/>
          <w:bottom w:w="55" w:type="dxa"/>
          <w:right w:w="55" w:type="dxa"/>
        </w:tblCellMar>
      </w:tblPr>
      <w:tblGrid>
        <w:gridCol w:w="2492"/>
        <w:gridCol w:w="7480"/>
      </w:tblGrid>
      <w:tr>
        <w:trPr/>
        <w:tc>
          <w:tcPr>
            <w:tcW w:w="2492" w:type="dxa"/>
            <w:tcBorders>
              <w:top w:val="single" w:sz="2" w:space="0" w:color="000000"/>
              <w:left w:val="single" w:sz="2" w:space="0" w:color="000000"/>
              <w:bottom w:val="single" w:sz="2" w:space="0" w:color="000000"/>
            </w:tcBorders>
            <w:shd w:fill="auto" w:val="clear"/>
          </w:tcPr>
          <w:p>
            <w:pPr>
              <w:pStyle w:val="TableContents"/>
              <w:keepNext w:val="true"/>
              <w:rPr/>
            </w:pPr>
            <w:r>
              <w:rPr>
                <w:b/>
                <w:bCs/>
              </w:rPr>
              <w:t>January 3, 2019</w:t>
            </w:r>
          </w:p>
        </w:tc>
        <w:tc>
          <w:tcPr>
            <w:tcW w:w="7480"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b/>
                <w:bCs/>
              </w:rPr>
              <w:t>501(c)(3) status ; policy re online access to Minutes</w:t>
            </w:r>
          </w:p>
        </w:tc>
      </w:tr>
      <w:tr>
        <w:trPr>
          <w:trHeight w:val="1046" w:hRule="atLeast"/>
          <w:cantSplit w:val="true"/>
        </w:trPr>
        <w:tc>
          <w:tcPr>
            <w:tcW w:w="9972"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u w:val="single"/>
              </w:rPr>
              <w:t xml:space="preserve">Reported: </w:t>
            </w:r>
            <w:r>
              <w:rPr/>
              <w:t xml:space="preserve"> AVP-USA,Inc. accepted our application to be a subordinate group.  We are now a 501(c)(3) tax-exempt organization and can directly accept tax-deductible donations and grants, etc.</w:t>
              <w:br/>
              <w:t xml:space="preserve">[our Tax ID# is </w:t>
            </w:r>
            <w:r>
              <w:rPr>
                <w:b/>
                <w:bCs/>
              </w:rPr>
              <w:t>83-2766713</w:t>
            </w:r>
            <w:r>
              <w:rPr/>
              <w:t>].</w:t>
            </w:r>
          </w:p>
          <w:p>
            <w:pPr>
              <w:pStyle w:val="TableContents"/>
              <w:rPr/>
            </w:pPr>
            <w:r>
              <w:rPr/>
            </w:r>
          </w:p>
          <w:p>
            <w:pPr>
              <w:pStyle w:val="TableContents"/>
              <w:rPr/>
            </w:pPr>
            <w:r>
              <w:rPr>
                <w:u w:val="single"/>
              </w:rPr>
              <w:t>Decision:</w:t>
            </w:r>
            <w:r>
              <w:rPr>
                <w:u w:val="none"/>
              </w:rPr>
              <w:t xml:space="preserve"> The full Minutes files will not be on the website because of possible privacy issues (inclusion of home addresses, phone numbers, etc.)   Jim Avera will create a single document which records all “significant” council decisions, which will be published on the website [that’s this doc].</w:t>
            </w:r>
          </w:p>
          <w:p>
            <w:pPr>
              <w:pStyle w:val="TableContents"/>
              <w:rPr>
                <w:u w:val="none"/>
              </w:rPr>
            </w:pPr>
            <w:r>
              <w:rPr>
                <w:u w:val="none"/>
              </w:rPr>
            </w:r>
          </w:p>
          <w:p>
            <w:pPr>
              <w:pStyle w:val="TableContents"/>
              <w:rPr/>
            </w:pPr>
            <w:r>
              <w:rPr>
                <w:u w:val="none"/>
              </w:rPr>
              <w:t>The Recording Secretary was John Creager.</w:t>
            </w:r>
          </w:p>
        </w:tc>
      </w:tr>
    </w:tbl>
    <w:p>
      <w:pPr>
        <w:pStyle w:val="Normal"/>
        <w:rPr/>
      </w:pPr>
      <w:r>
        <w:rPr/>
      </w:r>
    </w:p>
    <w:p>
      <w:pPr>
        <w:pStyle w:val="Normal"/>
        <w:rPr/>
      </w:pPr>
      <w:r>
        <w:rPr/>
      </w:r>
    </w:p>
    <w:tbl>
      <w:tblPr>
        <w:tblW w:w="9972" w:type="dxa"/>
        <w:jc w:val="left"/>
        <w:tblInd w:w="0" w:type="dxa"/>
        <w:tblCellMar>
          <w:top w:w="55" w:type="dxa"/>
          <w:left w:w="52" w:type="dxa"/>
          <w:bottom w:w="55" w:type="dxa"/>
          <w:right w:w="55" w:type="dxa"/>
        </w:tblCellMar>
      </w:tblPr>
      <w:tblGrid>
        <w:gridCol w:w="2492"/>
        <w:gridCol w:w="7479"/>
      </w:tblGrid>
      <w:tr>
        <w:trPr/>
        <w:tc>
          <w:tcPr>
            <w:tcW w:w="2492" w:type="dxa"/>
            <w:tcBorders>
              <w:top w:val="single" w:sz="2" w:space="0" w:color="000000"/>
              <w:left w:val="single" w:sz="2" w:space="0" w:color="000000"/>
              <w:bottom w:val="single" w:sz="2" w:space="0" w:color="000000"/>
            </w:tcBorders>
            <w:shd w:fill="auto" w:val="clear"/>
          </w:tcPr>
          <w:p>
            <w:pPr>
              <w:pStyle w:val="TableContents"/>
              <w:keepNext w:val="true"/>
              <w:suppressLineNumbers/>
              <w:rPr>
                <w:b/>
                <w:b/>
                <w:bCs/>
              </w:rPr>
            </w:pPr>
            <w:r>
              <w:rPr>
                <w:b/>
                <w:bCs/>
              </w:rPr>
              <w:t>December 9-18, 2018</w:t>
            </w:r>
          </w:p>
        </w:tc>
        <w:tc>
          <w:tcPr>
            <w:tcW w:w="7479"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Articles of Association ; affiliation with AVP-USA, Inc.</w:t>
            </w:r>
          </w:p>
        </w:tc>
      </w:tr>
      <w:tr>
        <w:trPr>
          <w:trHeight w:val="1046" w:hRule="atLeast"/>
          <w:cantSplit w:val="true"/>
        </w:trPr>
        <w:tc>
          <w:tcPr>
            <w:tcW w:w="9971"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 xml:space="preserve">This decision was made by email but we had not previously adopted any policy regarding decisions via email [Note: We now have a policy in our Articles of Association].  There was urgency because a donation was offered contingent on us having 501(c)(3) status.  The email discussion used our Google Group, to which all members were subscribed. More than 2/3 of the active members (people who had attended at least 3 meetings in the preceding year) participated, plus several others who attend less regularly, and the decisions were unanimously approved with one abstention. </w:t>
            </w:r>
          </w:p>
          <w:p>
            <w:pPr>
              <w:pStyle w:val="TableContents"/>
              <w:rPr/>
            </w:pPr>
            <w:r>
              <w:rPr/>
            </w:r>
          </w:p>
          <w:p>
            <w:pPr>
              <w:pStyle w:val="TableContents"/>
              <w:rPr/>
            </w:pPr>
            <w:r>
              <w:rPr/>
              <w:t>Decisions taken:</w:t>
            </w:r>
          </w:p>
          <w:p>
            <w:pPr>
              <w:pStyle w:val="TableContents"/>
              <w:rPr/>
            </w:pPr>
            <w:r>
              <w:rPr/>
            </w:r>
          </w:p>
          <w:p>
            <w:pPr>
              <w:pStyle w:val="TableContents"/>
              <w:rPr/>
            </w:pPr>
            <w:r>
              <w:rPr/>
              <w:t xml:space="preserve">* Adopted Articles of Association (dated December 18, 2018).  This document specifies, among other things, qualifications for Membership and how decisions may be made.  </w:t>
            </w:r>
          </w:p>
          <w:p>
            <w:pPr>
              <w:pStyle w:val="TableContents"/>
              <w:rPr/>
            </w:pPr>
            <w:r>
              <w:rPr/>
            </w:r>
          </w:p>
          <w:p>
            <w:pPr>
              <w:pStyle w:val="TableContents"/>
              <w:rPr/>
            </w:pPr>
            <w:r>
              <w:rPr/>
              <w:t>* Approved Sharon Beckman as Treasurer.</w:t>
            </w:r>
          </w:p>
          <w:p>
            <w:pPr>
              <w:pStyle w:val="TableContents"/>
              <w:rPr/>
            </w:pPr>
            <w:r>
              <w:rPr/>
            </w:r>
          </w:p>
          <w:p>
            <w:pPr>
              <w:pStyle w:val="TableContents"/>
              <w:rPr/>
            </w:pPr>
            <w:r>
              <w:rPr/>
              <w:t>* Approved affiliation with AVP-USA, Inc. as a subordinate group subject to their general supervision and control, and inclusion in their IRS Group Exemption Letter for tax-exempt status.</w:t>
            </w:r>
          </w:p>
          <w:p>
            <w:pPr>
              <w:pStyle w:val="TableContents"/>
              <w:rPr/>
            </w:pPr>
            <w:r>
              <w:rPr/>
            </w:r>
          </w:p>
          <w:p>
            <w:pPr>
              <w:pStyle w:val="TableContents"/>
              <w:rPr/>
            </w:pPr>
            <w:r>
              <w:rPr/>
              <w:t xml:space="preserve">[Related documents are online at </w:t>
            </w:r>
            <w:hyperlink r:id="rId2">
              <w:bookmarkStart w:id="0" w:name="__DdeLink__38_3112891183"/>
              <w:r>
                <w:rPr>
                  <w:rStyle w:val="InternetLink"/>
                </w:rPr>
                <w:t>http://abhweb.org/avp/northbay/doc/legal/</w:t>
              </w:r>
            </w:hyperlink>
            <w:bookmarkEnd w:id="0"/>
            <w:r>
              <w:rPr/>
              <w:t>]</w:t>
            </w:r>
          </w:p>
          <w:p>
            <w:pPr>
              <w:pStyle w:val="TableContents"/>
              <w:rPr/>
            </w:pPr>
            <w:r>
              <w:rPr/>
            </w:r>
          </w:p>
          <w:p>
            <w:pPr>
              <w:pStyle w:val="TableContents"/>
              <w:rPr/>
            </w:pPr>
            <w:r>
              <w:rPr/>
              <w:t>The Recording Secretary was Jim Avera.</w:t>
            </w:r>
          </w:p>
        </w:tc>
      </w:tr>
    </w:tbl>
    <w:p>
      <w:pPr>
        <w:pStyle w:val="TextBody"/>
        <w:rPr/>
      </w:pPr>
      <w:r>
        <w:rPr/>
      </w:r>
    </w:p>
    <w:p>
      <w:pPr>
        <w:pStyle w:val="TextBody"/>
        <w:spacing w:before="0" w:after="140"/>
        <w:rPr/>
      </w:pPr>
      <w:r>
        <w:rPr/>
        <w:t>(start of history)</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Bullets">
    <w:name w:val="Bullets"/>
    <w:qFormat/>
    <w:rPr>
      <w:rFonts w:ascii="OpenSymbol" w:hAnsi="OpenSymbol" w:eastAsia="OpenSymbol"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bhweb.org/avp/northbay/doc/lega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LibreOffice/6.2.8.2$Linux_X86_64 LibreOffice_project/20$Build-2</Application>
  <Pages>2</Pages>
  <Words>577</Words>
  <Characters>3108</Characters>
  <CharactersWithSpaces>3663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2019-01-10T08:51:27Z</dcterms:created>
  <dc:creator>Jim Avera</dc:creator>
  <dc:description/>
  <dc:language>en-US</dc:language>
  <cp:lastModifiedBy>Jim Avera</cp:lastModifiedBy>
  <dcterms:modified xsi:type="dcterms:W3CDTF">2020-03-17T12:57:40Z</dcterms:modified>
  <cp:revision>12</cp:revision>
  <dc:subject/>
  <dc:title/>
</cp:coreProperties>
</file>